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b/>
          <w:bCs/>
          <w:color w:val="333333"/>
          <w:kern w:val="0"/>
          <w:szCs w:val="21"/>
        </w:rPr>
        <w:t>中华人民共和国国务院令</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b/>
          <w:bCs/>
          <w:color w:val="333333"/>
          <w:kern w:val="0"/>
          <w:szCs w:val="21"/>
        </w:rPr>
        <w:t>编制管理条例</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w:t>
      </w:r>
      <w:r w:rsidRPr="00AA294C">
        <w:rPr>
          <w:rFonts w:ascii="Arial" w:eastAsia="宋体" w:hAnsi="Arial" w:cs="Arial"/>
          <w:color w:val="333333"/>
          <w:kern w:val="0"/>
          <w:szCs w:val="21"/>
        </w:rPr>
        <w:t>486</w:t>
      </w:r>
      <w:r w:rsidRPr="00AA294C">
        <w:rPr>
          <w:rFonts w:ascii="Arial" w:eastAsia="宋体" w:hAnsi="Arial" w:cs="Arial"/>
          <w:color w:val="333333"/>
          <w:kern w:val="0"/>
          <w:szCs w:val="21"/>
        </w:rPr>
        <w:t>号</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w:t>
      </w:r>
      <w:hyperlink r:id="rId4" w:tgtFrame="_blank" w:history="1">
        <w:r w:rsidRPr="00AA294C">
          <w:rPr>
            <w:rFonts w:ascii="Arial" w:eastAsia="宋体" w:hAnsi="Arial" w:cs="Arial"/>
            <w:color w:val="136EC2"/>
            <w:kern w:val="0"/>
            <w:szCs w:val="21"/>
          </w:rPr>
          <w:t>地方各级人民政府</w:t>
        </w:r>
      </w:hyperlink>
      <w:r w:rsidRPr="00AA294C">
        <w:rPr>
          <w:rFonts w:ascii="Arial" w:eastAsia="宋体" w:hAnsi="Arial" w:cs="Arial"/>
          <w:color w:val="333333"/>
          <w:kern w:val="0"/>
          <w:szCs w:val="21"/>
        </w:rPr>
        <w:t>机构设置编制管理条例》已经</w:t>
      </w:r>
      <w:r w:rsidRPr="00AA294C">
        <w:rPr>
          <w:rFonts w:ascii="Arial" w:eastAsia="宋体" w:hAnsi="Arial" w:cs="Arial"/>
          <w:color w:val="333333"/>
          <w:kern w:val="0"/>
          <w:szCs w:val="21"/>
        </w:rPr>
        <w:t>2007</w:t>
      </w:r>
      <w:r w:rsidRPr="00AA294C">
        <w:rPr>
          <w:rFonts w:ascii="Arial" w:eastAsia="宋体" w:hAnsi="Arial" w:cs="Arial"/>
          <w:color w:val="333333"/>
          <w:kern w:val="0"/>
          <w:szCs w:val="21"/>
        </w:rPr>
        <w:t>年</w:t>
      </w:r>
      <w:r w:rsidRPr="00AA294C">
        <w:rPr>
          <w:rFonts w:ascii="Arial" w:eastAsia="宋体" w:hAnsi="Arial" w:cs="Arial"/>
          <w:color w:val="333333"/>
          <w:kern w:val="0"/>
          <w:szCs w:val="21"/>
        </w:rPr>
        <w:t>2</w:t>
      </w:r>
      <w:r w:rsidRPr="00AA294C">
        <w:rPr>
          <w:rFonts w:ascii="Arial" w:eastAsia="宋体" w:hAnsi="Arial" w:cs="Arial"/>
          <w:color w:val="333333"/>
          <w:kern w:val="0"/>
          <w:szCs w:val="21"/>
        </w:rPr>
        <w:t>月</w:t>
      </w:r>
      <w:r w:rsidRPr="00AA294C">
        <w:rPr>
          <w:rFonts w:ascii="Arial" w:eastAsia="宋体" w:hAnsi="Arial" w:cs="Arial"/>
          <w:color w:val="333333"/>
          <w:kern w:val="0"/>
          <w:szCs w:val="21"/>
        </w:rPr>
        <w:t>14</w:t>
      </w:r>
      <w:r w:rsidRPr="00AA294C">
        <w:rPr>
          <w:rFonts w:ascii="Arial" w:eastAsia="宋体" w:hAnsi="Arial" w:cs="Arial"/>
          <w:color w:val="333333"/>
          <w:kern w:val="0"/>
          <w:szCs w:val="21"/>
        </w:rPr>
        <w:t>日国务院第</w:t>
      </w:r>
      <w:r w:rsidRPr="00AA294C">
        <w:rPr>
          <w:rFonts w:ascii="Arial" w:eastAsia="宋体" w:hAnsi="Arial" w:cs="Arial"/>
          <w:color w:val="333333"/>
          <w:kern w:val="0"/>
          <w:szCs w:val="21"/>
        </w:rPr>
        <w:t>169</w:t>
      </w:r>
      <w:r w:rsidRPr="00AA294C">
        <w:rPr>
          <w:rFonts w:ascii="Arial" w:eastAsia="宋体" w:hAnsi="Arial" w:cs="Arial"/>
          <w:color w:val="333333"/>
          <w:kern w:val="0"/>
          <w:szCs w:val="21"/>
        </w:rPr>
        <w:t>次常务会议通过，现予公布，自</w:t>
      </w:r>
      <w:r w:rsidRPr="00AA294C">
        <w:rPr>
          <w:rFonts w:ascii="Arial" w:eastAsia="宋体" w:hAnsi="Arial" w:cs="Arial"/>
          <w:color w:val="333333"/>
          <w:kern w:val="0"/>
          <w:szCs w:val="21"/>
        </w:rPr>
        <w:t>2007</w:t>
      </w:r>
      <w:r w:rsidRPr="00AA294C">
        <w:rPr>
          <w:rFonts w:ascii="Arial" w:eastAsia="宋体" w:hAnsi="Arial" w:cs="Arial"/>
          <w:color w:val="333333"/>
          <w:kern w:val="0"/>
          <w:szCs w:val="21"/>
        </w:rPr>
        <w:t>年</w:t>
      </w:r>
      <w:r w:rsidRPr="00AA294C">
        <w:rPr>
          <w:rFonts w:ascii="Arial" w:eastAsia="宋体" w:hAnsi="Arial" w:cs="Arial"/>
          <w:color w:val="333333"/>
          <w:kern w:val="0"/>
          <w:szCs w:val="21"/>
        </w:rPr>
        <w:t>5</w:t>
      </w:r>
      <w:r w:rsidRPr="00AA294C">
        <w:rPr>
          <w:rFonts w:ascii="Arial" w:eastAsia="宋体" w:hAnsi="Arial" w:cs="Arial"/>
          <w:color w:val="333333"/>
          <w:kern w:val="0"/>
          <w:szCs w:val="21"/>
        </w:rPr>
        <w:t>月</w:t>
      </w:r>
      <w:r w:rsidRPr="00AA294C">
        <w:rPr>
          <w:rFonts w:ascii="Arial" w:eastAsia="宋体" w:hAnsi="Arial" w:cs="Arial"/>
          <w:color w:val="333333"/>
          <w:kern w:val="0"/>
          <w:szCs w:val="21"/>
        </w:rPr>
        <w:t>1</w:t>
      </w:r>
      <w:r w:rsidRPr="00AA294C">
        <w:rPr>
          <w:rFonts w:ascii="Arial" w:eastAsia="宋体" w:hAnsi="Arial" w:cs="Arial"/>
          <w:color w:val="333333"/>
          <w:kern w:val="0"/>
          <w:szCs w:val="21"/>
        </w:rPr>
        <w:t>日起施行。</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 xml:space="preserve">总　理　</w:t>
      </w:r>
      <w:r w:rsidRPr="00AA294C">
        <w:rPr>
          <w:rFonts w:ascii="Arial" w:eastAsia="宋体" w:hAnsi="Arial" w:cs="Arial"/>
          <w:color w:val="333333"/>
          <w:kern w:val="0"/>
          <w:szCs w:val="21"/>
        </w:rPr>
        <w:t xml:space="preserve"> </w:t>
      </w:r>
      <w:r w:rsidRPr="00AA294C">
        <w:rPr>
          <w:rFonts w:ascii="Arial" w:eastAsia="宋体" w:hAnsi="Arial" w:cs="Arial"/>
          <w:color w:val="333333"/>
          <w:kern w:val="0"/>
          <w:szCs w:val="21"/>
        </w:rPr>
        <w:t>温家宝</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二</w:t>
      </w:r>
      <w:r w:rsidRPr="00AA294C">
        <w:rPr>
          <w:rFonts w:ascii="Arial" w:eastAsia="宋体" w:hAnsi="Arial" w:cs="Arial"/>
          <w:color w:val="333333"/>
          <w:kern w:val="0"/>
          <w:szCs w:val="21"/>
        </w:rPr>
        <w:t>○○</w:t>
      </w:r>
      <w:r w:rsidRPr="00AA294C">
        <w:rPr>
          <w:rFonts w:ascii="Arial" w:eastAsia="宋体" w:hAnsi="Arial" w:cs="Arial"/>
          <w:color w:val="333333"/>
          <w:kern w:val="0"/>
          <w:szCs w:val="21"/>
        </w:rPr>
        <w:t>七年二月二十四日</w:t>
      </w:r>
    </w:p>
    <w:p w:rsidR="00AA294C" w:rsidRPr="00AA294C" w:rsidRDefault="00AA294C" w:rsidP="00AA294C">
      <w:pPr>
        <w:widowControl/>
        <w:shd w:val="clear" w:color="auto" w:fill="FFFFFF"/>
        <w:spacing w:line="360" w:lineRule="atLeast"/>
        <w:jc w:val="left"/>
        <w:outlineLvl w:val="1"/>
        <w:rPr>
          <w:rFonts w:ascii="微软雅黑" w:eastAsia="微软雅黑" w:hAnsi="微软雅黑" w:cs="宋体"/>
          <w:color w:val="000000"/>
          <w:kern w:val="0"/>
          <w:sz w:val="33"/>
          <w:szCs w:val="33"/>
        </w:rPr>
      </w:pPr>
      <w:bookmarkStart w:id="0" w:name="2"/>
      <w:bookmarkStart w:id="1" w:name="sub848569_2"/>
      <w:bookmarkStart w:id="2" w:name="内容"/>
      <w:bookmarkEnd w:id="0"/>
      <w:bookmarkEnd w:id="1"/>
      <w:bookmarkEnd w:id="2"/>
      <w:r w:rsidRPr="00AA294C">
        <w:rPr>
          <w:rFonts w:ascii="微软雅黑" w:eastAsia="微软雅黑" w:hAnsi="微软雅黑" w:cs="宋体" w:hint="eastAsia"/>
          <w:color w:val="000000"/>
          <w:kern w:val="0"/>
          <w:sz w:val="33"/>
          <w:szCs w:val="33"/>
        </w:rPr>
        <w:t>内容</w:t>
      </w:r>
    </w:p>
    <w:p w:rsidR="00AA294C" w:rsidRPr="00AA294C" w:rsidRDefault="00AA294C" w:rsidP="00AA294C">
      <w:pPr>
        <w:widowControl/>
        <w:shd w:val="clear" w:color="auto" w:fill="FFFFFF"/>
        <w:spacing w:line="360" w:lineRule="atLeast"/>
        <w:jc w:val="left"/>
        <w:rPr>
          <w:rFonts w:ascii="微软雅黑" w:eastAsia="微软雅黑" w:hAnsi="微软雅黑" w:cs="宋体" w:hint="eastAsia"/>
          <w:color w:val="333333"/>
          <w:kern w:val="0"/>
          <w:sz w:val="33"/>
          <w:szCs w:val="33"/>
        </w:rPr>
      </w:pPr>
      <w:hyperlink r:id="rId5" w:history="1">
        <w:r w:rsidRPr="00AA294C">
          <w:rPr>
            <w:rFonts w:ascii="宋体" w:eastAsia="宋体" w:hAnsi="宋体" w:cs="宋体" w:hint="eastAsia"/>
            <w:color w:val="888888"/>
            <w:kern w:val="0"/>
            <w:sz w:val="18"/>
            <w:szCs w:val="18"/>
            <w:shd w:val="clear" w:color="auto" w:fill="FFFFFF"/>
          </w:rPr>
          <w:t>编辑</w:t>
        </w:r>
      </w:hyperlink>
    </w:p>
    <w:p w:rsidR="00AA294C" w:rsidRPr="00AA294C" w:rsidRDefault="00AA294C" w:rsidP="00AA294C">
      <w:pPr>
        <w:widowControl/>
        <w:shd w:val="clear" w:color="auto" w:fill="FFFFFF"/>
        <w:spacing w:line="360" w:lineRule="atLeast"/>
        <w:ind w:firstLine="480"/>
        <w:jc w:val="left"/>
        <w:rPr>
          <w:rFonts w:ascii="Arial" w:eastAsia="宋体" w:hAnsi="Arial" w:cs="Arial" w:hint="eastAsia"/>
          <w:color w:val="333333"/>
          <w:kern w:val="0"/>
          <w:szCs w:val="21"/>
        </w:rPr>
      </w:pPr>
      <w:r w:rsidRPr="00AA294C">
        <w:rPr>
          <w:rFonts w:ascii="Arial" w:eastAsia="宋体" w:hAnsi="Arial" w:cs="Arial"/>
          <w:color w:val="333333"/>
          <w:kern w:val="0"/>
          <w:szCs w:val="21"/>
        </w:rPr>
        <w:t>第一章　总　则</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第一条　为了规范地方各级人民政府机构设置，加强编制管理，提高行政效能，根据宪法、地方各级人民代表大会和地方各级人民政府组织法，制定本条例。</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第二条　地方各级人民政府机构的设置、职责配置、编制核定以及对机构编制工作的监督管理，适用本条例。</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第三条　地方各级人民政府机构设置和编制管理工作，应当按照经济社会全面协调可持续发展的要求，适应全面履行职能的需要，遵循精简、统一、效能的原则。</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第四条　地方各级人民政府的机构编制工作，实行中央统一领导、地方分级管理的体制。</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第五条　县级以上各级人民政府机构编制管理机关应当按照管理权限履行管理职责，并对下级机构编制工作进行业务指导和监督。</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第六条　依照国家规定的程序设置的机构和核定的编制，是录用、聘用、调配工作人员、配备领导成员和核拨经费的依据。</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县级以上各级人民政府应当建立机构编制、人员工资与财政预算相互制约的机制，在设置机构、核定编制时，应当充分考虑财政的供养能力。机构实有人员不得突破规定的编制。禁止擅自设置机构和增加编制。对擅自设置机构和增加编制的，不得核拨财政资金或者挪用其他资金安排其经费。</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第七条　县级以上各级人民政府行政机构不得干预下级人民政府行政机构的设置和编制管理工作，不得要求下级人民政府设立与其业务对口的行政机构。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第二章　机构设置管理</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第八条　地方各级人民政府行政机构应当以职责的科学配置为基础，综合设置，做到职责明确、分工合理、机构精简、权责一致，决策和执行相协调。</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地方各级人民政府行政机构应当根据履行职责的需要，适时调整。但是，在一届政府任期内，地方各级人民政府的工作部门应当保持相对稳定。</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第九条　地方各级人民政府行政机构的设立、撤销、合并或者变更规格、名称，由本级人民政府提出方案，经上一级人民政府机构编制管理机关审核后，报上一级人民政府批准；其中，县级以上地方各级人民政府行政机构的设立、撤销或者合并，还应当依法报本级人民代表大会常务委员会备案。</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lastRenderedPageBreak/>
        <w:t>第十条　地方各级人民政府行政机构职责相同或者相近的，原则上由一个行政机构承担。</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行政机构之间对职责划分有异议的，应当主动协商解决。协商一致的，报本级人民政府机构编制管理机关备案；协商不一致的，应当提请本级人民政府机构编制管理机关提出协调意见，由机构编制管理机关报本级人民政府决定。</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第十一条　地方各级人民政府设立议事协调机构，应当严格控制；可以交由现有机构承担职能的或者由现有机构进行协调可以解决问题的，</w:t>
      </w:r>
      <w:proofErr w:type="gramStart"/>
      <w:r w:rsidRPr="00AA294C">
        <w:rPr>
          <w:rFonts w:ascii="Arial" w:eastAsia="宋体" w:hAnsi="Arial" w:cs="Arial"/>
          <w:color w:val="333333"/>
          <w:kern w:val="0"/>
          <w:szCs w:val="21"/>
        </w:rPr>
        <w:t>不</w:t>
      </w:r>
      <w:proofErr w:type="gramEnd"/>
      <w:r w:rsidRPr="00AA294C">
        <w:rPr>
          <w:rFonts w:ascii="Arial" w:eastAsia="宋体" w:hAnsi="Arial" w:cs="Arial"/>
          <w:color w:val="333333"/>
          <w:kern w:val="0"/>
          <w:szCs w:val="21"/>
        </w:rPr>
        <w:t>另设立议事协调机构。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为办理一定时期内某项特定工作设立的议事协调机构，应当明确规定其撤销的条件和期限。</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第十二条　县级以上地方各级人民政府的议事协调机构不单独设立办事机构，具体工作由有关的行政机构承担。</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第十三条　地方各级人民政府行政机构根据工作需要和精干的原则，设立必要的内设机构。县级以上地方各级人民政府行政机构的内设机构的设立、撤销、合并或者变更规格、名称，由该行政机构报本级人民政府机构编制管理机关审批。</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第三章　编制管理</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第十四条　地方各级人民政府行政机构的编制，应当根据其所承担的职责，按照精简的原则核定。</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 xml:space="preserve">第十五条　</w:t>
      </w:r>
      <w:r w:rsidRPr="00AA294C">
        <w:rPr>
          <w:rFonts w:ascii="Arial" w:eastAsia="宋体" w:hAnsi="Arial" w:cs="Arial"/>
          <w:color w:val="333333"/>
          <w:kern w:val="0"/>
          <w:szCs w:val="21"/>
          <w:highlight w:val="yellow"/>
        </w:rPr>
        <w:t>机构编制管理机关应当按照编制的不同类别和使用范围审批编制。地方各级人民政府行政机构应当使用行政编制，事业单位应当使用事业编制，不得混用、挤占、挪用或者自行设定其他类别的编制。</w:t>
      </w:r>
      <w:bookmarkStart w:id="3" w:name="_GoBack"/>
      <w:bookmarkEnd w:id="3"/>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第十六条　地方各级人民政府的行政编制总额，由省、自治区、直辖市人民政府提出，经国务院机构编制管理机关审核后，报国务院批准。</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第十七条　根据工作需要，国务院机构编制管理机关报经国务院批准，可以在地方行政编制总额内对特定的行政机构的行政编制实行专项管理。</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第十八条　地方各级人民政府根据调整职责的需要，可以在行政编制总额内调整本级人民政府有关部门的行政编制。但是，在同一个行政区域不同层级之间调配使用行政编制的，应当由省、自治区、直辖市人民政府机构编制管理机关报国务院机构编制管理机关审批。</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第十九条　地方各级人民政府议事协调机构不单独确定编制，所需要的编制由承担具体工作的行政机构解决。</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第二十条　地方各级人民政府行政机构的领导职数，按照地方各级人民代表大会和地方各级人民政府组织法的有关规定确定。</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第四章　监督检查</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第二十一条　县级以上各级人民政府机构编制管理机关应当按照管理权限，对机构编制管理的执行情况进行监督检查；必要时，可以会同监察机关和其他有关部门对机构编制管理的执行情况进行监督检查。有关组织和个人应当予以配合。</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第二十二条　县级以上各级人民政府机构编制管理机关实施监督检查时，应当严格执行规定的程序，发现违反本条例规定的行为，应当向本级人民政府提出处理意见和建议。</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lastRenderedPageBreak/>
        <w:t>第二十三条　地方各级人民政府机构编制管理机关，应当如实向上级机构编制管理机关提交机构编制年度统计资料，不得虚报、瞒报、伪造。</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第二十四条　县级以上各级人民政府机构编制管理机关应当定期评估机构和编制的执行情况，并将评估结果作为调整机构编制的参考依据。评估的具体办法，由国务院机构编制管理机关制定。</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第二十五条　任何组织和个人对违反机构编制管理规定的行为，都有权向机构编制管理机关、监察机关等有关部门举报。</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县级以上各级人民政府机构编制管理机关应当接受社会监督。</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第五章　法律责任</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第二十六条　有下列行为之一的，由机构编制管理机关给予通报批评，并责令限期改正；情节严重的，对直接负责的主管人员和其他直接责任人员，依法给予处分：</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（一）擅自设立、撤销、合并行政机构或者变更规格、名称的；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（二）擅自改变行政机构职责的；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（三）擅自增加编制或者改变编制使用范围的；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（四）超出编制限额调配财政供养人员、为超编人员核拨财政资金或者挪用其他资金安排其经费、以虚报人员等方式占用编制并冒用财政资金的；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（五）擅自超职数、超规格配备领导成员的；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（六）违反规定干预下级人民政府行政机构的设置和编制管理工作的；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（七）违反规定审批机构、编制的；</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（八）违反机构编制管理规定的其他行为。</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第二十七条　机构编制管理机关工作人员在机构编制管理工作中滥用职权、玩忽职守、徇私舞弊，构成犯罪的，依法追究刑事责任；尚不构成犯罪的，依法给予处分。</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第六章　附　则</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 xml:space="preserve">第二十八条　</w:t>
      </w:r>
      <w:r w:rsidRPr="00AA294C">
        <w:rPr>
          <w:rFonts w:ascii="Arial" w:eastAsia="宋体" w:hAnsi="Arial" w:cs="Arial"/>
          <w:color w:val="333333"/>
          <w:kern w:val="0"/>
          <w:szCs w:val="21"/>
          <w:highlight w:val="yellow"/>
        </w:rPr>
        <w:t>本条例所称编制，是指机构编制管理机关核定的行政机构和事业单位的人员数额和领导职数。</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 xml:space="preserve">第二十九条　</w:t>
      </w:r>
      <w:r w:rsidRPr="00AA294C">
        <w:rPr>
          <w:rFonts w:ascii="Arial" w:eastAsia="宋体" w:hAnsi="Arial" w:cs="Arial"/>
          <w:color w:val="333333"/>
          <w:kern w:val="0"/>
          <w:szCs w:val="21"/>
          <w:highlight w:val="yellow"/>
        </w:rPr>
        <w:t>地方的事业单位机构和编制管理办法</w:t>
      </w:r>
      <w:r w:rsidRPr="00AA294C">
        <w:rPr>
          <w:rFonts w:ascii="Arial" w:eastAsia="宋体" w:hAnsi="Arial" w:cs="Arial"/>
          <w:color w:val="333333"/>
          <w:kern w:val="0"/>
          <w:szCs w:val="21"/>
        </w:rPr>
        <w:t>，由省、自治区、直辖市人民政府机构编制管理机关拟定，报国务院机构编制管理机关审核后，由省、自治区、直辖市人民政府发布。事业编制的全国性标准由国务院机构编制管理机关会同国务院财政部门和其他有关部门制定。</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第三十条　本条例自</w:t>
      </w:r>
      <w:r w:rsidRPr="00AA294C">
        <w:rPr>
          <w:rFonts w:ascii="Arial" w:eastAsia="宋体" w:hAnsi="Arial" w:cs="Arial"/>
          <w:color w:val="333333"/>
          <w:kern w:val="0"/>
          <w:szCs w:val="21"/>
        </w:rPr>
        <w:t>2007</w:t>
      </w:r>
      <w:r w:rsidRPr="00AA294C">
        <w:rPr>
          <w:rFonts w:ascii="Arial" w:eastAsia="宋体" w:hAnsi="Arial" w:cs="Arial"/>
          <w:color w:val="333333"/>
          <w:kern w:val="0"/>
          <w:szCs w:val="21"/>
        </w:rPr>
        <w:t>年</w:t>
      </w:r>
      <w:r w:rsidRPr="00AA294C">
        <w:rPr>
          <w:rFonts w:ascii="Arial" w:eastAsia="宋体" w:hAnsi="Arial" w:cs="Arial"/>
          <w:color w:val="333333"/>
          <w:kern w:val="0"/>
          <w:szCs w:val="21"/>
        </w:rPr>
        <w:t>5</w:t>
      </w:r>
      <w:r w:rsidRPr="00AA294C">
        <w:rPr>
          <w:rFonts w:ascii="Arial" w:eastAsia="宋体" w:hAnsi="Arial" w:cs="Arial"/>
          <w:color w:val="333333"/>
          <w:kern w:val="0"/>
          <w:szCs w:val="21"/>
        </w:rPr>
        <w:t>月</w:t>
      </w:r>
      <w:r w:rsidRPr="00AA294C">
        <w:rPr>
          <w:rFonts w:ascii="Arial" w:eastAsia="宋体" w:hAnsi="Arial" w:cs="Arial"/>
          <w:color w:val="333333"/>
          <w:kern w:val="0"/>
          <w:szCs w:val="21"/>
        </w:rPr>
        <w:t>1</w:t>
      </w:r>
      <w:r w:rsidRPr="00AA294C">
        <w:rPr>
          <w:rFonts w:ascii="Arial" w:eastAsia="宋体" w:hAnsi="Arial" w:cs="Arial"/>
          <w:color w:val="333333"/>
          <w:kern w:val="0"/>
          <w:szCs w:val="21"/>
        </w:rPr>
        <w:t>日起施行</w:t>
      </w:r>
    </w:p>
    <w:p w:rsidR="00AA294C"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w:t>
      </w:r>
      <w:r w:rsidRPr="00AA294C">
        <w:rPr>
          <w:rFonts w:ascii="Arial" w:eastAsia="宋体" w:hAnsi="Arial" w:cs="Arial"/>
          <w:color w:val="3366CC"/>
          <w:kern w:val="0"/>
          <w:sz w:val="16"/>
          <w:szCs w:val="16"/>
          <w:vertAlign w:val="superscript"/>
        </w:rPr>
        <w:t> [1]</w:t>
      </w:r>
      <w:bookmarkStart w:id="4" w:name="ref_[1]_848569"/>
      <w:r w:rsidRPr="00AA294C">
        <w:rPr>
          <w:rFonts w:ascii="Arial" w:eastAsia="宋体" w:hAnsi="Arial" w:cs="Arial"/>
          <w:color w:val="136EC2"/>
          <w:kern w:val="0"/>
          <w:sz w:val="2"/>
          <w:szCs w:val="2"/>
        </w:rPr>
        <w:t> </w:t>
      </w:r>
      <w:bookmarkEnd w:id="4"/>
    </w:p>
    <w:p w:rsidR="00AA294C" w:rsidRPr="00AA294C" w:rsidRDefault="00AA294C" w:rsidP="00AA294C">
      <w:pPr>
        <w:widowControl/>
        <w:shd w:val="clear" w:color="auto" w:fill="FFFFFF"/>
        <w:spacing w:line="360" w:lineRule="atLeast"/>
        <w:jc w:val="left"/>
        <w:outlineLvl w:val="1"/>
        <w:rPr>
          <w:rFonts w:ascii="微软雅黑" w:eastAsia="微软雅黑" w:hAnsi="微软雅黑" w:cs="宋体"/>
          <w:color w:val="000000"/>
          <w:kern w:val="0"/>
          <w:sz w:val="33"/>
          <w:szCs w:val="33"/>
        </w:rPr>
      </w:pPr>
      <w:bookmarkStart w:id="5" w:name="3"/>
      <w:bookmarkStart w:id="6" w:name="sub848569_3"/>
      <w:bookmarkStart w:id="7" w:name="解读"/>
      <w:bookmarkEnd w:id="5"/>
      <w:bookmarkEnd w:id="6"/>
      <w:bookmarkEnd w:id="7"/>
      <w:r w:rsidRPr="00AA294C">
        <w:rPr>
          <w:rFonts w:ascii="微软雅黑" w:eastAsia="微软雅黑" w:hAnsi="微软雅黑" w:cs="宋体" w:hint="eastAsia"/>
          <w:color w:val="000000"/>
          <w:kern w:val="0"/>
          <w:sz w:val="33"/>
          <w:szCs w:val="33"/>
        </w:rPr>
        <w:t>解读</w:t>
      </w:r>
    </w:p>
    <w:p w:rsidR="00AA294C" w:rsidRPr="00AA294C" w:rsidRDefault="00AA294C" w:rsidP="00AA294C">
      <w:pPr>
        <w:widowControl/>
        <w:shd w:val="clear" w:color="auto" w:fill="FFFFFF"/>
        <w:spacing w:line="360" w:lineRule="atLeast"/>
        <w:jc w:val="left"/>
        <w:rPr>
          <w:rFonts w:ascii="微软雅黑" w:eastAsia="微软雅黑" w:hAnsi="微软雅黑" w:cs="宋体" w:hint="eastAsia"/>
          <w:color w:val="333333"/>
          <w:kern w:val="0"/>
          <w:sz w:val="33"/>
          <w:szCs w:val="33"/>
        </w:rPr>
      </w:pPr>
      <w:hyperlink r:id="rId6" w:history="1">
        <w:r w:rsidRPr="00AA294C">
          <w:rPr>
            <w:rFonts w:ascii="宋体" w:eastAsia="宋体" w:hAnsi="宋体" w:cs="宋体" w:hint="eastAsia"/>
            <w:color w:val="888888"/>
            <w:kern w:val="0"/>
            <w:sz w:val="18"/>
            <w:szCs w:val="18"/>
            <w:shd w:val="clear" w:color="auto" w:fill="FFFFFF"/>
          </w:rPr>
          <w:t>编辑</w:t>
        </w:r>
      </w:hyperlink>
    </w:p>
    <w:p w:rsidR="005800BB" w:rsidRPr="00AA294C" w:rsidRDefault="00AA294C" w:rsidP="00AA294C">
      <w:pPr>
        <w:widowControl/>
        <w:shd w:val="clear" w:color="auto" w:fill="FFFFFF"/>
        <w:spacing w:line="360" w:lineRule="atLeast"/>
        <w:ind w:firstLine="480"/>
        <w:jc w:val="left"/>
        <w:rPr>
          <w:rFonts w:ascii="Arial" w:eastAsia="宋体" w:hAnsi="Arial" w:cs="Arial"/>
          <w:color w:val="333333"/>
          <w:kern w:val="0"/>
          <w:szCs w:val="21"/>
        </w:rPr>
      </w:pPr>
      <w:r w:rsidRPr="00AA294C">
        <w:rPr>
          <w:rFonts w:ascii="Arial" w:eastAsia="宋体" w:hAnsi="Arial" w:cs="Arial"/>
          <w:color w:val="333333"/>
          <w:kern w:val="0"/>
          <w:szCs w:val="21"/>
        </w:rPr>
        <w:t>中央编办、国务院法制办负责人就《地方各级人民政府机构设置和编制管理条例》有关问题</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答中国政府法制信息网问</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《地方各级人民政府机构设置和编制管理条例》（以下简称《条例》）将于</w:t>
      </w:r>
      <w:r w:rsidRPr="00AA294C">
        <w:rPr>
          <w:rFonts w:ascii="Arial" w:eastAsia="宋体" w:hAnsi="Arial" w:cs="Arial"/>
          <w:color w:val="333333"/>
          <w:kern w:val="0"/>
          <w:szCs w:val="21"/>
        </w:rPr>
        <w:t>2007</w:t>
      </w:r>
      <w:r w:rsidRPr="00AA294C">
        <w:rPr>
          <w:rFonts w:ascii="Arial" w:eastAsia="宋体" w:hAnsi="Arial" w:cs="Arial"/>
          <w:color w:val="333333"/>
          <w:kern w:val="0"/>
          <w:szCs w:val="21"/>
        </w:rPr>
        <w:t>年</w:t>
      </w:r>
      <w:r w:rsidRPr="00AA294C">
        <w:rPr>
          <w:rFonts w:ascii="Arial" w:eastAsia="宋体" w:hAnsi="Arial" w:cs="Arial"/>
          <w:color w:val="333333"/>
          <w:kern w:val="0"/>
          <w:szCs w:val="21"/>
        </w:rPr>
        <w:t>5</w:t>
      </w:r>
      <w:r w:rsidRPr="00AA294C">
        <w:rPr>
          <w:rFonts w:ascii="Arial" w:eastAsia="宋体" w:hAnsi="Arial" w:cs="Arial"/>
          <w:color w:val="333333"/>
          <w:kern w:val="0"/>
          <w:szCs w:val="21"/>
        </w:rPr>
        <w:t>月</w:t>
      </w:r>
      <w:r w:rsidRPr="00AA294C">
        <w:rPr>
          <w:rFonts w:ascii="Arial" w:eastAsia="宋体" w:hAnsi="Arial" w:cs="Arial"/>
          <w:color w:val="333333"/>
          <w:kern w:val="0"/>
          <w:szCs w:val="21"/>
        </w:rPr>
        <w:t>1</w:t>
      </w:r>
      <w:r w:rsidRPr="00AA294C">
        <w:rPr>
          <w:rFonts w:ascii="Arial" w:eastAsia="宋体" w:hAnsi="Arial" w:cs="Arial"/>
          <w:color w:val="333333"/>
          <w:kern w:val="0"/>
          <w:szCs w:val="21"/>
        </w:rPr>
        <w:t>日起施行。这是新中国成立以来第一部规范地方机构编制管理的行政法规，填补了地</w:t>
      </w:r>
      <w:r w:rsidRPr="00AA294C">
        <w:rPr>
          <w:rFonts w:ascii="Arial" w:eastAsia="宋体" w:hAnsi="Arial" w:cs="Arial"/>
          <w:color w:val="333333"/>
          <w:kern w:val="0"/>
          <w:szCs w:val="21"/>
        </w:rPr>
        <w:lastRenderedPageBreak/>
        <w:t>方机构编制管理工作的法制空白。为便于公众更好地理解《条例》的有关内容和精神，日前中央编办和国务院法制办负责人接受了中国政府网的采访。</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问：对于社会上反映的行政机构职责不清、推诿扯皮等问题，《条例》是如何规范的？</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答：《条例》规定：一是地方各级政府行政机构应当以职责的科学配置为基础，综合设置，做到职责明确、分工合理、机构精简、权责一致，决策和执行相协调。二是地方各级政府行政机构职责相同或者相近的，原则上由一个行政机构承担。行政机构之间对职责划分有异议的，应当主动协商解决。协商一致的，报本级政府机构编制管理机关备案；协商不一致的，应当提请本级政府机构编制管理机关提出协调意见，由机构编制管理机关报本级政府决定。</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问：目前在一些地方超编进人等现象还时有发生，《条例》对此是如何规范的？</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答：近年来，各地按照中央的要求，采取各种措施，严格控制机构编制膨胀，机构编制管理的总体效果是好的。为解决现实中仍然存在的一些问题，《条例》规定，依照国家规定程序设置的机构和核定的编制，是录用、聘用、调配工作人员、配备领导成员和核拨经费的依据。县级以上各级政府应建立机构编制、人员工资与财政预算相互制约的机制，在设置机构、核定编制时，应充分考虑财政的供养能力。机构实有人员不得突破规定的编制。禁止擅自设置机构和增加编制。对擅自设置机构和增加编制的，不得核拨财政资金或者挪用其他资金安排其经费。</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机构编制管理机关应按照编制的不同类别和使用范围审批编制。地方各级政府行政机构应使用行政编制，事业单位应使用事业编制，不得混用、挤占、挪用或者自行设定其他类别的编制。</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同时，对超编进人等违反规定的行为，《条例》也设定了相应的法律责任及处罚措施。</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问：如何规范对事业单位的机构编制管理？</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答：对事业单位的机构编制进行管理，历来是地方机构编制管理的重要组成部分，也是管理中的薄弱环节，有必要通过立法加以规范。由于各地事业单位的情况千差万别，不宜实行统一的管理模式。同时，为解决事业单位机构编制管理中存在的一些问题，需要加大管理的力度，《条例》规定：地方的事业单位机构和编制管理办法，由省级政府机构编制管理机关拟定，报国务院机构编制管理机关审核后，由省级政府发布。事业编制的全国性标准由国务院机构编制管理机关会同财政部门和其他有关部门制定。</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问：《条例》的约束力是如何体现的？</w:t>
      </w:r>
      <w:r w:rsidRPr="00AA294C">
        <w:rPr>
          <w:rFonts w:ascii="Arial" w:eastAsia="宋体" w:hAnsi="Arial" w:cs="Arial"/>
          <w:color w:val="333333"/>
          <w:kern w:val="0"/>
          <w:szCs w:val="21"/>
        </w:rPr>
        <w:br/>
      </w:r>
      <w:r w:rsidRPr="00AA294C">
        <w:rPr>
          <w:rFonts w:ascii="Arial" w:eastAsia="宋体" w:hAnsi="Arial" w:cs="Arial"/>
          <w:color w:val="333333"/>
          <w:kern w:val="0"/>
          <w:szCs w:val="21"/>
        </w:rPr>
        <w:t xml:space="preserve">　　答：《条例》一方面要求加强对机构编制管理法规执行情况的监督检查；另一方面强调追究违法行为的法律责任。《条例》明确了机构编制管理机关和监察机关的监督检查职责和程序；要求机构编制管理机关应定期评估机构和编制的执行情况，并将评估结果作为调整机构编制的参考依据；规定了对机构编制违法违规行为的举报制度。为切实惩治机构编制管理中的违法行为，《条例》针对擅自设立、撤销、合并行政机构或者变更规格、名称，擅自改变行政机构职责，违反规定审批机构、编制等八种违法行为，规定了相应的法律责任。</w:t>
      </w:r>
      <w:r w:rsidRPr="00AA294C">
        <w:rPr>
          <w:rFonts w:ascii="Arial" w:eastAsia="宋体" w:hAnsi="Arial" w:cs="Arial"/>
          <w:color w:val="3366CC"/>
          <w:kern w:val="0"/>
          <w:sz w:val="16"/>
          <w:szCs w:val="16"/>
          <w:vertAlign w:val="superscript"/>
        </w:rPr>
        <w:t> [2]</w:t>
      </w:r>
      <w:bookmarkStart w:id="8" w:name="ref_[2]_848569"/>
      <w:r w:rsidRPr="00AA294C">
        <w:rPr>
          <w:rFonts w:ascii="Arial" w:eastAsia="宋体" w:hAnsi="Arial" w:cs="Arial"/>
          <w:color w:val="136EC2"/>
          <w:kern w:val="0"/>
          <w:sz w:val="2"/>
          <w:szCs w:val="2"/>
        </w:rPr>
        <w:t> </w:t>
      </w:r>
      <w:bookmarkStart w:id="9" w:name="4"/>
      <w:bookmarkStart w:id="10" w:name="sub848569_4"/>
      <w:bookmarkStart w:id="11" w:name="答复"/>
      <w:bookmarkEnd w:id="8"/>
      <w:bookmarkEnd w:id="9"/>
      <w:bookmarkEnd w:id="10"/>
      <w:bookmarkEnd w:id="11"/>
    </w:p>
    <w:sectPr w:rsidR="005800BB" w:rsidRPr="00AA29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EDC"/>
    <w:rsid w:val="005800BB"/>
    <w:rsid w:val="008E0ECD"/>
    <w:rsid w:val="00AA294C"/>
    <w:rsid w:val="00C56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C7987"/>
  <w15:chartTrackingRefBased/>
  <w15:docId w15:val="{E3441288-6F45-4D68-B361-EC4E152E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AA294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AA294C"/>
    <w:rPr>
      <w:rFonts w:ascii="宋体" w:eastAsia="宋体" w:hAnsi="宋体" w:cs="宋体"/>
      <w:b/>
      <w:bCs/>
      <w:kern w:val="0"/>
      <w:sz w:val="36"/>
      <w:szCs w:val="36"/>
    </w:rPr>
  </w:style>
  <w:style w:type="character" w:styleId="a3">
    <w:name w:val="Hyperlink"/>
    <w:basedOn w:val="a0"/>
    <w:uiPriority w:val="99"/>
    <w:semiHidden/>
    <w:unhideWhenUsed/>
    <w:rsid w:val="00AA29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486616">
      <w:bodyDiv w:val="1"/>
      <w:marLeft w:val="0"/>
      <w:marRight w:val="0"/>
      <w:marTop w:val="0"/>
      <w:marBottom w:val="0"/>
      <w:divBdr>
        <w:top w:val="none" w:sz="0" w:space="0" w:color="auto"/>
        <w:left w:val="none" w:sz="0" w:space="0" w:color="auto"/>
        <w:bottom w:val="none" w:sz="0" w:space="0" w:color="auto"/>
        <w:right w:val="none" w:sz="0" w:space="0" w:color="auto"/>
      </w:divBdr>
      <w:divsChild>
        <w:div w:id="1933080968">
          <w:marLeft w:val="0"/>
          <w:marRight w:val="0"/>
          <w:marTop w:val="0"/>
          <w:marBottom w:val="225"/>
          <w:divBdr>
            <w:top w:val="none" w:sz="0" w:space="0" w:color="auto"/>
            <w:left w:val="none" w:sz="0" w:space="0" w:color="auto"/>
            <w:bottom w:val="none" w:sz="0" w:space="0" w:color="auto"/>
            <w:right w:val="none" w:sz="0" w:space="0" w:color="auto"/>
          </w:divBdr>
        </w:div>
        <w:div w:id="2034837291">
          <w:marLeft w:val="0"/>
          <w:marRight w:val="0"/>
          <w:marTop w:val="0"/>
          <w:marBottom w:val="225"/>
          <w:divBdr>
            <w:top w:val="none" w:sz="0" w:space="0" w:color="auto"/>
            <w:left w:val="none" w:sz="0" w:space="0" w:color="auto"/>
            <w:bottom w:val="none" w:sz="0" w:space="0" w:color="auto"/>
            <w:right w:val="none" w:sz="0" w:space="0" w:color="auto"/>
          </w:divBdr>
        </w:div>
        <w:div w:id="1083263885">
          <w:marLeft w:val="0"/>
          <w:marRight w:val="0"/>
          <w:marTop w:val="0"/>
          <w:marBottom w:val="225"/>
          <w:divBdr>
            <w:top w:val="none" w:sz="0" w:space="0" w:color="auto"/>
            <w:left w:val="none" w:sz="0" w:space="0" w:color="auto"/>
            <w:bottom w:val="none" w:sz="0" w:space="0" w:color="auto"/>
            <w:right w:val="none" w:sz="0" w:space="0" w:color="auto"/>
          </w:divBdr>
        </w:div>
        <w:div w:id="145899225">
          <w:marLeft w:val="0"/>
          <w:marRight w:val="0"/>
          <w:marTop w:val="0"/>
          <w:marBottom w:val="225"/>
          <w:divBdr>
            <w:top w:val="none" w:sz="0" w:space="0" w:color="auto"/>
            <w:left w:val="none" w:sz="0" w:space="0" w:color="auto"/>
            <w:bottom w:val="none" w:sz="0" w:space="0" w:color="auto"/>
            <w:right w:val="none" w:sz="0" w:space="0" w:color="auto"/>
          </w:divBdr>
        </w:div>
        <w:div w:id="900752166">
          <w:marLeft w:val="0"/>
          <w:marRight w:val="0"/>
          <w:marTop w:val="0"/>
          <w:marBottom w:val="225"/>
          <w:divBdr>
            <w:top w:val="none" w:sz="0" w:space="0" w:color="auto"/>
            <w:left w:val="none" w:sz="0" w:space="0" w:color="auto"/>
            <w:bottom w:val="none" w:sz="0" w:space="0" w:color="auto"/>
            <w:right w:val="none" w:sz="0" w:space="0" w:color="auto"/>
          </w:divBdr>
        </w:div>
        <w:div w:id="1282498453">
          <w:marLeft w:val="0"/>
          <w:marRight w:val="0"/>
          <w:marTop w:val="0"/>
          <w:marBottom w:val="225"/>
          <w:divBdr>
            <w:top w:val="none" w:sz="0" w:space="0" w:color="auto"/>
            <w:left w:val="none" w:sz="0" w:space="0" w:color="auto"/>
            <w:bottom w:val="none" w:sz="0" w:space="0" w:color="auto"/>
            <w:right w:val="none" w:sz="0" w:space="0" w:color="auto"/>
          </w:divBdr>
        </w:div>
        <w:div w:id="1779831426">
          <w:marLeft w:val="-450"/>
          <w:marRight w:val="0"/>
          <w:marTop w:val="525"/>
          <w:marBottom w:val="225"/>
          <w:divBdr>
            <w:top w:val="none" w:sz="0" w:space="0" w:color="auto"/>
            <w:left w:val="single" w:sz="48" w:space="0" w:color="4F9CEE"/>
            <w:bottom w:val="none" w:sz="0" w:space="0" w:color="auto"/>
            <w:right w:val="none" w:sz="0" w:space="0" w:color="auto"/>
          </w:divBdr>
        </w:div>
        <w:div w:id="65107524">
          <w:marLeft w:val="0"/>
          <w:marRight w:val="0"/>
          <w:marTop w:val="0"/>
          <w:marBottom w:val="225"/>
          <w:divBdr>
            <w:top w:val="none" w:sz="0" w:space="0" w:color="auto"/>
            <w:left w:val="none" w:sz="0" w:space="0" w:color="auto"/>
            <w:bottom w:val="none" w:sz="0" w:space="0" w:color="auto"/>
            <w:right w:val="none" w:sz="0" w:space="0" w:color="auto"/>
          </w:divBdr>
        </w:div>
        <w:div w:id="724639502">
          <w:marLeft w:val="0"/>
          <w:marRight w:val="0"/>
          <w:marTop w:val="0"/>
          <w:marBottom w:val="225"/>
          <w:divBdr>
            <w:top w:val="none" w:sz="0" w:space="0" w:color="auto"/>
            <w:left w:val="none" w:sz="0" w:space="0" w:color="auto"/>
            <w:bottom w:val="none" w:sz="0" w:space="0" w:color="auto"/>
            <w:right w:val="none" w:sz="0" w:space="0" w:color="auto"/>
          </w:divBdr>
        </w:div>
        <w:div w:id="1743142454">
          <w:marLeft w:val="0"/>
          <w:marRight w:val="0"/>
          <w:marTop w:val="0"/>
          <w:marBottom w:val="225"/>
          <w:divBdr>
            <w:top w:val="none" w:sz="0" w:space="0" w:color="auto"/>
            <w:left w:val="none" w:sz="0" w:space="0" w:color="auto"/>
            <w:bottom w:val="none" w:sz="0" w:space="0" w:color="auto"/>
            <w:right w:val="none" w:sz="0" w:space="0" w:color="auto"/>
          </w:divBdr>
        </w:div>
        <w:div w:id="750544480">
          <w:marLeft w:val="0"/>
          <w:marRight w:val="0"/>
          <w:marTop w:val="0"/>
          <w:marBottom w:val="225"/>
          <w:divBdr>
            <w:top w:val="none" w:sz="0" w:space="0" w:color="auto"/>
            <w:left w:val="none" w:sz="0" w:space="0" w:color="auto"/>
            <w:bottom w:val="none" w:sz="0" w:space="0" w:color="auto"/>
            <w:right w:val="none" w:sz="0" w:space="0" w:color="auto"/>
          </w:divBdr>
        </w:div>
        <w:div w:id="571812025">
          <w:marLeft w:val="0"/>
          <w:marRight w:val="0"/>
          <w:marTop w:val="0"/>
          <w:marBottom w:val="225"/>
          <w:divBdr>
            <w:top w:val="none" w:sz="0" w:space="0" w:color="auto"/>
            <w:left w:val="none" w:sz="0" w:space="0" w:color="auto"/>
            <w:bottom w:val="none" w:sz="0" w:space="0" w:color="auto"/>
            <w:right w:val="none" w:sz="0" w:space="0" w:color="auto"/>
          </w:divBdr>
        </w:div>
        <w:div w:id="1232886687">
          <w:marLeft w:val="0"/>
          <w:marRight w:val="0"/>
          <w:marTop w:val="0"/>
          <w:marBottom w:val="225"/>
          <w:divBdr>
            <w:top w:val="none" w:sz="0" w:space="0" w:color="auto"/>
            <w:left w:val="none" w:sz="0" w:space="0" w:color="auto"/>
            <w:bottom w:val="none" w:sz="0" w:space="0" w:color="auto"/>
            <w:right w:val="none" w:sz="0" w:space="0" w:color="auto"/>
          </w:divBdr>
        </w:div>
        <w:div w:id="52167978">
          <w:marLeft w:val="0"/>
          <w:marRight w:val="0"/>
          <w:marTop w:val="0"/>
          <w:marBottom w:val="225"/>
          <w:divBdr>
            <w:top w:val="none" w:sz="0" w:space="0" w:color="auto"/>
            <w:left w:val="none" w:sz="0" w:space="0" w:color="auto"/>
            <w:bottom w:val="none" w:sz="0" w:space="0" w:color="auto"/>
            <w:right w:val="none" w:sz="0" w:space="0" w:color="auto"/>
          </w:divBdr>
        </w:div>
        <w:div w:id="642276322">
          <w:marLeft w:val="0"/>
          <w:marRight w:val="0"/>
          <w:marTop w:val="0"/>
          <w:marBottom w:val="225"/>
          <w:divBdr>
            <w:top w:val="none" w:sz="0" w:space="0" w:color="auto"/>
            <w:left w:val="none" w:sz="0" w:space="0" w:color="auto"/>
            <w:bottom w:val="none" w:sz="0" w:space="0" w:color="auto"/>
            <w:right w:val="none" w:sz="0" w:space="0" w:color="auto"/>
          </w:divBdr>
        </w:div>
        <w:div w:id="208345281">
          <w:marLeft w:val="0"/>
          <w:marRight w:val="0"/>
          <w:marTop w:val="0"/>
          <w:marBottom w:val="225"/>
          <w:divBdr>
            <w:top w:val="none" w:sz="0" w:space="0" w:color="auto"/>
            <w:left w:val="none" w:sz="0" w:space="0" w:color="auto"/>
            <w:bottom w:val="none" w:sz="0" w:space="0" w:color="auto"/>
            <w:right w:val="none" w:sz="0" w:space="0" w:color="auto"/>
          </w:divBdr>
        </w:div>
        <w:div w:id="1153718225">
          <w:marLeft w:val="0"/>
          <w:marRight w:val="0"/>
          <w:marTop w:val="0"/>
          <w:marBottom w:val="225"/>
          <w:divBdr>
            <w:top w:val="none" w:sz="0" w:space="0" w:color="auto"/>
            <w:left w:val="none" w:sz="0" w:space="0" w:color="auto"/>
            <w:bottom w:val="none" w:sz="0" w:space="0" w:color="auto"/>
            <w:right w:val="none" w:sz="0" w:space="0" w:color="auto"/>
          </w:divBdr>
        </w:div>
        <w:div w:id="562177644">
          <w:marLeft w:val="0"/>
          <w:marRight w:val="0"/>
          <w:marTop w:val="0"/>
          <w:marBottom w:val="225"/>
          <w:divBdr>
            <w:top w:val="none" w:sz="0" w:space="0" w:color="auto"/>
            <w:left w:val="none" w:sz="0" w:space="0" w:color="auto"/>
            <w:bottom w:val="none" w:sz="0" w:space="0" w:color="auto"/>
            <w:right w:val="none" w:sz="0" w:space="0" w:color="auto"/>
          </w:divBdr>
        </w:div>
        <w:div w:id="18825439">
          <w:marLeft w:val="0"/>
          <w:marRight w:val="0"/>
          <w:marTop w:val="0"/>
          <w:marBottom w:val="225"/>
          <w:divBdr>
            <w:top w:val="none" w:sz="0" w:space="0" w:color="auto"/>
            <w:left w:val="none" w:sz="0" w:space="0" w:color="auto"/>
            <w:bottom w:val="none" w:sz="0" w:space="0" w:color="auto"/>
            <w:right w:val="none" w:sz="0" w:space="0" w:color="auto"/>
          </w:divBdr>
        </w:div>
        <w:div w:id="960065795">
          <w:marLeft w:val="0"/>
          <w:marRight w:val="0"/>
          <w:marTop w:val="0"/>
          <w:marBottom w:val="225"/>
          <w:divBdr>
            <w:top w:val="none" w:sz="0" w:space="0" w:color="auto"/>
            <w:left w:val="none" w:sz="0" w:space="0" w:color="auto"/>
            <w:bottom w:val="none" w:sz="0" w:space="0" w:color="auto"/>
            <w:right w:val="none" w:sz="0" w:space="0" w:color="auto"/>
          </w:divBdr>
        </w:div>
        <w:div w:id="618148155">
          <w:marLeft w:val="0"/>
          <w:marRight w:val="0"/>
          <w:marTop w:val="0"/>
          <w:marBottom w:val="225"/>
          <w:divBdr>
            <w:top w:val="none" w:sz="0" w:space="0" w:color="auto"/>
            <w:left w:val="none" w:sz="0" w:space="0" w:color="auto"/>
            <w:bottom w:val="none" w:sz="0" w:space="0" w:color="auto"/>
            <w:right w:val="none" w:sz="0" w:space="0" w:color="auto"/>
          </w:divBdr>
        </w:div>
        <w:div w:id="1070734992">
          <w:marLeft w:val="0"/>
          <w:marRight w:val="0"/>
          <w:marTop w:val="0"/>
          <w:marBottom w:val="225"/>
          <w:divBdr>
            <w:top w:val="none" w:sz="0" w:space="0" w:color="auto"/>
            <w:left w:val="none" w:sz="0" w:space="0" w:color="auto"/>
            <w:bottom w:val="none" w:sz="0" w:space="0" w:color="auto"/>
            <w:right w:val="none" w:sz="0" w:space="0" w:color="auto"/>
          </w:divBdr>
        </w:div>
        <w:div w:id="31923273">
          <w:marLeft w:val="0"/>
          <w:marRight w:val="0"/>
          <w:marTop w:val="0"/>
          <w:marBottom w:val="225"/>
          <w:divBdr>
            <w:top w:val="none" w:sz="0" w:space="0" w:color="auto"/>
            <w:left w:val="none" w:sz="0" w:space="0" w:color="auto"/>
            <w:bottom w:val="none" w:sz="0" w:space="0" w:color="auto"/>
            <w:right w:val="none" w:sz="0" w:space="0" w:color="auto"/>
          </w:divBdr>
        </w:div>
        <w:div w:id="1004622945">
          <w:marLeft w:val="0"/>
          <w:marRight w:val="0"/>
          <w:marTop w:val="0"/>
          <w:marBottom w:val="225"/>
          <w:divBdr>
            <w:top w:val="none" w:sz="0" w:space="0" w:color="auto"/>
            <w:left w:val="none" w:sz="0" w:space="0" w:color="auto"/>
            <w:bottom w:val="none" w:sz="0" w:space="0" w:color="auto"/>
            <w:right w:val="none" w:sz="0" w:space="0" w:color="auto"/>
          </w:divBdr>
        </w:div>
        <w:div w:id="494802827">
          <w:marLeft w:val="0"/>
          <w:marRight w:val="0"/>
          <w:marTop w:val="0"/>
          <w:marBottom w:val="225"/>
          <w:divBdr>
            <w:top w:val="none" w:sz="0" w:space="0" w:color="auto"/>
            <w:left w:val="none" w:sz="0" w:space="0" w:color="auto"/>
            <w:bottom w:val="none" w:sz="0" w:space="0" w:color="auto"/>
            <w:right w:val="none" w:sz="0" w:space="0" w:color="auto"/>
          </w:divBdr>
        </w:div>
        <w:div w:id="1229263161">
          <w:marLeft w:val="0"/>
          <w:marRight w:val="0"/>
          <w:marTop w:val="0"/>
          <w:marBottom w:val="225"/>
          <w:divBdr>
            <w:top w:val="none" w:sz="0" w:space="0" w:color="auto"/>
            <w:left w:val="none" w:sz="0" w:space="0" w:color="auto"/>
            <w:bottom w:val="none" w:sz="0" w:space="0" w:color="auto"/>
            <w:right w:val="none" w:sz="0" w:space="0" w:color="auto"/>
          </w:divBdr>
        </w:div>
        <w:div w:id="1445541835">
          <w:marLeft w:val="0"/>
          <w:marRight w:val="0"/>
          <w:marTop w:val="0"/>
          <w:marBottom w:val="225"/>
          <w:divBdr>
            <w:top w:val="none" w:sz="0" w:space="0" w:color="auto"/>
            <w:left w:val="none" w:sz="0" w:space="0" w:color="auto"/>
            <w:bottom w:val="none" w:sz="0" w:space="0" w:color="auto"/>
            <w:right w:val="none" w:sz="0" w:space="0" w:color="auto"/>
          </w:divBdr>
        </w:div>
        <w:div w:id="1964116450">
          <w:marLeft w:val="0"/>
          <w:marRight w:val="0"/>
          <w:marTop w:val="0"/>
          <w:marBottom w:val="225"/>
          <w:divBdr>
            <w:top w:val="none" w:sz="0" w:space="0" w:color="auto"/>
            <w:left w:val="none" w:sz="0" w:space="0" w:color="auto"/>
            <w:bottom w:val="none" w:sz="0" w:space="0" w:color="auto"/>
            <w:right w:val="none" w:sz="0" w:space="0" w:color="auto"/>
          </w:divBdr>
        </w:div>
        <w:div w:id="1034964780">
          <w:marLeft w:val="0"/>
          <w:marRight w:val="0"/>
          <w:marTop w:val="0"/>
          <w:marBottom w:val="225"/>
          <w:divBdr>
            <w:top w:val="none" w:sz="0" w:space="0" w:color="auto"/>
            <w:left w:val="none" w:sz="0" w:space="0" w:color="auto"/>
            <w:bottom w:val="none" w:sz="0" w:space="0" w:color="auto"/>
            <w:right w:val="none" w:sz="0" w:space="0" w:color="auto"/>
          </w:divBdr>
        </w:div>
        <w:div w:id="2074355208">
          <w:marLeft w:val="0"/>
          <w:marRight w:val="0"/>
          <w:marTop w:val="0"/>
          <w:marBottom w:val="225"/>
          <w:divBdr>
            <w:top w:val="none" w:sz="0" w:space="0" w:color="auto"/>
            <w:left w:val="none" w:sz="0" w:space="0" w:color="auto"/>
            <w:bottom w:val="none" w:sz="0" w:space="0" w:color="auto"/>
            <w:right w:val="none" w:sz="0" w:space="0" w:color="auto"/>
          </w:divBdr>
        </w:div>
        <w:div w:id="549656646">
          <w:marLeft w:val="0"/>
          <w:marRight w:val="0"/>
          <w:marTop w:val="0"/>
          <w:marBottom w:val="225"/>
          <w:divBdr>
            <w:top w:val="none" w:sz="0" w:space="0" w:color="auto"/>
            <w:left w:val="none" w:sz="0" w:space="0" w:color="auto"/>
            <w:bottom w:val="none" w:sz="0" w:space="0" w:color="auto"/>
            <w:right w:val="none" w:sz="0" w:space="0" w:color="auto"/>
          </w:divBdr>
        </w:div>
        <w:div w:id="1351299578">
          <w:marLeft w:val="0"/>
          <w:marRight w:val="0"/>
          <w:marTop w:val="0"/>
          <w:marBottom w:val="225"/>
          <w:divBdr>
            <w:top w:val="none" w:sz="0" w:space="0" w:color="auto"/>
            <w:left w:val="none" w:sz="0" w:space="0" w:color="auto"/>
            <w:bottom w:val="none" w:sz="0" w:space="0" w:color="auto"/>
            <w:right w:val="none" w:sz="0" w:space="0" w:color="auto"/>
          </w:divBdr>
        </w:div>
        <w:div w:id="1255748437">
          <w:marLeft w:val="0"/>
          <w:marRight w:val="0"/>
          <w:marTop w:val="0"/>
          <w:marBottom w:val="225"/>
          <w:divBdr>
            <w:top w:val="none" w:sz="0" w:space="0" w:color="auto"/>
            <w:left w:val="none" w:sz="0" w:space="0" w:color="auto"/>
            <w:bottom w:val="none" w:sz="0" w:space="0" w:color="auto"/>
            <w:right w:val="none" w:sz="0" w:space="0" w:color="auto"/>
          </w:divBdr>
        </w:div>
        <w:div w:id="1811441737">
          <w:marLeft w:val="0"/>
          <w:marRight w:val="0"/>
          <w:marTop w:val="0"/>
          <w:marBottom w:val="225"/>
          <w:divBdr>
            <w:top w:val="none" w:sz="0" w:space="0" w:color="auto"/>
            <w:left w:val="none" w:sz="0" w:space="0" w:color="auto"/>
            <w:bottom w:val="none" w:sz="0" w:space="0" w:color="auto"/>
            <w:right w:val="none" w:sz="0" w:space="0" w:color="auto"/>
          </w:divBdr>
        </w:div>
        <w:div w:id="1675379515">
          <w:marLeft w:val="0"/>
          <w:marRight w:val="0"/>
          <w:marTop w:val="0"/>
          <w:marBottom w:val="225"/>
          <w:divBdr>
            <w:top w:val="none" w:sz="0" w:space="0" w:color="auto"/>
            <w:left w:val="none" w:sz="0" w:space="0" w:color="auto"/>
            <w:bottom w:val="none" w:sz="0" w:space="0" w:color="auto"/>
            <w:right w:val="none" w:sz="0" w:space="0" w:color="auto"/>
          </w:divBdr>
        </w:div>
        <w:div w:id="998775423">
          <w:marLeft w:val="0"/>
          <w:marRight w:val="0"/>
          <w:marTop w:val="0"/>
          <w:marBottom w:val="225"/>
          <w:divBdr>
            <w:top w:val="none" w:sz="0" w:space="0" w:color="auto"/>
            <w:left w:val="none" w:sz="0" w:space="0" w:color="auto"/>
            <w:bottom w:val="none" w:sz="0" w:space="0" w:color="auto"/>
            <w:right w:val="none" w:sz="0" w:space="0" w:color="auto"/>
          </w:divBdr>
        </w:div>
        <w:div w:id="34890783">
          <w:marLeft w:val="0"/>
          <w:marRight w:val="0"/>
          <w:marTop w:val="0"/>
          <w:marBottom w:val="225"/>
          <w:divBdr>
            <w:top w:val="none" w:sz="0" w:space="0" w:color="auto"/>
            <w:left w:val="none" w:sz="0" w:space="0" w:color="auto"/>
            <w:bottom w:val="none" w:sz="0" w:space="0" w:color="auto"/>
            <w:right w:val="none" w:sz="0" w:space="0" w:color="auto"/>
          </w:divBdr>
        </w:div>
        <w:div w:id="322047996">
          <w:marLeft w:val="0"/>
          <w:marRight w:val="0"/>
          <w:marTop w:val="0"/>
          <w:marBottom w:val="225"/>
          <w:divBdr>
            <w:top w:val="none" w:sz="0" w:space="0" w:color="auto"/>
            <w:left w:val="none" w:sz="0" w:space="0" w:color="auto"/>
            <w:bottom w:val="none" w:sz="0" w:space="0" w:color="auto"/>
            <w:right w:val="none" w:sz="0" w:space="0" w:color="auto"/>
          </w:divBdr>
        </w:div>
        <w:div w:id="1290361469">
          <w:marLeft w:val="0"/>
          <w:marRight w:val="0"/>
          <w:marTop w:val="0"/>
          <w:marBottom w:val="225"/>
          <w:divBdr>
            <w:top w:val="none" w:sz="0" w:space="0" w:color="auto"/>
            <w:left w:val="none" w:sz="0" w:space="0" w:color="auto"/>
            <w:bottom w:val="none" w:sz="0" w:space="0" w:color="auto"/>
            <w:right w:val="none" w:sz="0" w:space="0" w:color="auto"/>
          </w:divBdr>
        </w:div>
        <w:div w:id="384572378">
          <w:marLeft w:val="0"/>
          <w:marRight w:val="0"/>
          <w:marTop w:val="0"/>
          <w:marBottom w:val="225"/>
          <w:divBdr>
            <w:top w:val="none" w:sz="0" w:space="0" w:color="auto"/>
            <w:left w:val="none" w:sz="0" w:space="0" w:color="auto"/>
            <w:bottom w:val="none" w:sz="0" w:space="0" w:color="auto"/>
            <w:right w:val="none" w:sz="0" w:space="0" w:color="auto"/>
          </w:divBdr>
        </w:div>
        <w:div w:id="475874107">
          <w:marLeft w:val="0"/>
          <w:marRight w:val="0"/>
          <w:marTop w:val="0"/>
          <w:marBottom w:val="225"/>
          <w:divBdr>
            <w:top w:val="none" w:sz="0" w:space="0" w:color="auto"/>
            <w:left w:val="none" w:sz="0" w:space="0" w:color="auto"/>
            <w:bottom w:val="none" w:sz="0" w:space="0" w:color="auto"/>
            <w:right w:val="none" w:sz="0" w:space="0" w:color="auto"/>
          </w:divBdr>
        </w:div>
        <w:div w:id="1179272027">
          <w:marLeft w:val="0"/>
          <w:marRight w:val="0"/>
          <w:marTop w:val="0"/>
          <w:marBottom w:val="225"/>
          <w:divBdr>
            <w:top w:val="none" w:sz="0" w:space="0" w:color="auto"/>
            <w:left w:val="none" w:sz="0" w:space="0" w:color="auto"/>
            <w:bottom w:val="none" w:sz="0" w:space="0" w:color="auto"/>
            <w:right w:val="none" w:sz="0" w:space="0" w:color="auto"/>
          </w:divBdr>
        </w:div>
        <w:div w:id="520432375">
          <w:marLeft w:val="0"/>
          <w:marRight w:val="0"/>
          <w:marTop w:val="0"/>
          <w:marBottom w:val="225"/>
          <w:divBdr>
            <w:top w:val="none" w:sz="0" w:space="0" w:color="auto"/>
            <w:left w:val="none" w:sz="0" w:space="0" w:color="auto"/>
            <w:bottom w:val="none" w:sz="0" w:space="0" w:color="auto"/>
            <w:right w:val="none" w:sz="0" w:space="0" w:color="auto"/>
          </w:divBdr>
        </w:div>
        <w:div w:id="1815753156">
          <w:marLeft w:val="0"/>
          <w:marRight w:val="0"/>
          <w:marTop w:val="0"/>
          <w:marBottom w:val="225"/>
          <w:divBdr>
            <w:top w:val="none" w:sz="0" w:space="0" w:color="auto"/>
            <w:left w:val="none" w:sz="0" w:space="0" w:color="auto"/>
            <w:bottom w:val="none" w:sz="0" w:space="0" w:color="auto"/>
            <w:right w:val="none" w:sz="0" w:space="0" w:color="auto"/>
          </w:divBdr>
        </w:div>
        <w:div w:id="840196175">
          <w:marLeft w:val="0"/>
          <w:marRight w:val="0"/>
          <w:marTop w:val="0"/>
          <w:marBottom w:val="225"/>
          <w:divBdr>
            <w:top w:val="none" w:sz="0" w:space="0" w:color="auto"/>
            <w:left w:val="none" w:sz="0" w:space="0" w:color="auto"/>
            <w:bottom w:val="none" w:sz="0" w:space="0" w:color="auto"/>
            <w:right w:val="none" w:sz="0" w:space="0" w:color="auto"/>
          </w:divBdr>
        </w:div>
        <w:div w:id="1676571558">
          <w:marLeft w:val="0"/>
          <w:marRight w:val="0"/>
          <w:marTop w:val="0"/>
          <w:marBottom w:val="225"/>
          <w:divBdr>
            <w:top w:val="none" w:sz="0" w:space="0" w:color="auto"/>
            <w:left w:val="none" w:sz="0" w:space="0" w:color="auto"/>
            <w:bottom w:val="none" w:sz="0" w:space="0" w:color="auto"/>
            <w:right w:val="none" w:sz="0" w:space="0" w:color="auto"/>
          </w:divBdr>
        </w:div>
        <w:div w:id="1499344296">
          <w:marLeft w:val="0"/>
          <w:marRight w:val="0"/>
          <w:marTop w:val="0"/>
          <w:marBottom w:val="225"/>
          <w:divBdr>
            <w:top w:val="none" w:sz="0" w:space="0" w:color="auto"/>
            <w:left w:val="none" w:sz="0" w:space="0" w:color="auto"/>
            <w:bottom w:val="none" w:sz="0" w:space="0" w:color="auto"/>
            <w:right w:val="none" w:sz="0" w:space="0" w:color="auto"/>
          </w:divBdr>
        </w:div>
        <w:div w:id="554704357">
          <w:marLeft w:val="0"/>
          <w:marRight w:val="0"/>
          <w:marTop w:val="0"/>
          <w:marBottom w:val="225"/>
          <w:divBdr>
            <w:top w:val="none" w:sz="0" w:space="0" w:color="auto"/>
            <w:left w:val="none" w:sz="0" w:space="0" w:color="auto"/>
            <w:bottom w:val="none" w:sz="0" w:space="0" w:color="auto"/>
            <w:right w:val="none" w:sz="0" w:space="0" w:color="auto"/>
          </w:divBdr>
        </w:div>
        <w:div w:id="1919754436">
          <w:marLeft w:val="0"/>
          <w:marRight w:val="0"/>
          <w:marTop w:val="0"/>
          <w:marBottom w:val="225"/>
          <w:divBdr>
            <w:top w:val="none" w:sz="0" w:space="0" w:color="auto"/>
            <w:left w:val="none" w:sz="0" w:space="0" w:color="auto"/>
            <w:bottom w:val="none" w:sz="0" w:space="0" w:color="auto"/>
            <w:right w:val="none" w:sz="0" w:space="0" w:color="auto"/>
          </w:divBdr>
        </w:div>
        <w:div w:id="296223697">
          <w:marLeft w:val="0"/>
          <w:marRight w:val="0"/>
          <w:marTop w:val="0"/>
          <w:marBottom w:val="225"/>
          <w:divBdr>
            <w:top w:val="none" w:sz="0" w:space="0" w:color="auto"/>
            <w:left w:val="none" w:sz="0" w:space="0" w:color="auto"/>
            <w:bottom w:val="none" w:sz="0" w:space="0" w:color="auto"/>
            <w:right w:val="none" w:sz="0" w:space="0" w:color="auto"/>
          </w:divBdr>
        </w:div>
        <w:div w:id="1805927040">
          <w:marLeft w:val="0"/>
          <w:marRight w:val="0"/>
          <w:marTop w:val="0"/>
          <w:marBottom w:val="225"/>
          <w:divBdr>
            <w:top w:val="none" w:sz="0" w:space="0" w:color="auto"/>
            <w:left w:val="none" w:sz="0" w:space="0" w:color="auto"/>
            <w:bottom w:val="none" w:sz="0" w:space="0" w:color="auto"/>
            <w:right w:val="none" w:sz="0" w:space="0" w:color="auto"/>
          </w:divBdr>
        </w:div>
        <w:div w:id="1413163989">
          <w:marLeft w:val="0"/>
          <w:marRight w:val="0"/>
          <w:marTop w:val="0"/>
          <w:marBottom w:val="225"/>
          <w:divBdr>
            <w:top w:val="none" w:sz="0" w:space="0" w:color="auto"/>
            <w:left w:val="none" w:sz="0" w:space="0" w:color="auto"/>
            <w:bottom w:val="none" w:sz="0" w:space="0" w:color="auto"/>
            <w:right w:val="none" w:sz="0" w:space="0" w:color="auto"/>
          </w:divBdr>
        </w:div>
        <w:div w:id="764810008">
          <w:marLeft w:val="0"/>
          <w:marRight w:val="0"/>
          <w:marTop w:val="0"/>
          <w:marBottom w:val="225"/>
          <w:divBdr>
            <w:top w:val="none" w:sz="0" w:space="0" w:color="auto"/>
            <w:left w:val="none" w:sz="0" w:space="0" w:color="auto"/>
            <w:bottom w:val="none" w:sz="0" w:space="0" w:color="auto"/>
            <w:right w:val="none" w:sz="0" w:space="0" w:color="auto"/>
          </w:divBdr>
        </w:div>
        <w:div w:id="346257265">
          <w:marLeft w:val="0"/>
          <w:marRight w:val="0"/>
          <w:marTop w:val="0"/>
          <w:marBottom w:val="225"/>
          <w:divBdr>
            <w:top w:val="none" w:sz="0" w:space="0" w:color="auto"/>
            <w:left w:val="none" w:sz="0" w:space="0" w:color="auto"/>
            <w:bottom w:val="none" w:sz="0" w:space="0" w:color="auto"/>
            <w:right w:val="none" w:sz="0" w:space="0" w:color="auto"/>
          </w:divBdr>
        </w:div>
        <w:div w:id="1148327913">
          <w:marLeft w:val="0"/>
          <w:marRight w:val="0"/>
          <w:marTop w:val="0"/>
          <w:marBottom w:val="225"/>
          <w:divBdr>
            <w:top w:val="none" w:sz="0" w:space="0" w:color="auto"/>
            <w:left w:val="none" w:sz="0" w:space="0" w:color="auto"/>
            <w:bottom w:val="none" w:sz="0" w:space="0" w:color="auto"/>
            <w:right w:val="none" w:sz="0" w:space="0" w:color="auto"/>
          </w:divBdr>
        </w:div>
        <w:div w:id="1310668427">
          <w:marLeft w:val="0"/>
          <w:marRight w:val="0"/>
          <w:marTop w:val="0"/>
          <w:marBottom w:val="225"/>
          <w:divBdr>
            <w:top w:val="none" w:sz="0" w:space="0" w:color="auto"/>
            <w:left w:val="none" w:sz="0" w:space="0" w:color="auto"/>
            <w:bottom w:val="none" w:sz="0" w:space="0" w:color="auto"/>
            <w:right w:val="none" w:sz="0" w:space="0" w:color="auto"/>
          </w:divBdr>
        </w:div>
        <w:div w:id="2146581744">
          <w:marLeft w:val="0"/>
          <w:marRight w:val="0"/>
          <w:marTop w:val="0"/>
          <w:marBottom w:val="225"/>
          <w:divBdr>
            <w:top w:val="none" w:sz="0" w:space="0" w:color="auto"/>
            <w:left w:val="none" w:sz="0" w:space="0" w:color="auto"/>
            <w:bottom w:val="none" w:sz="0" w:space="0" w:color="auto"/>
            <w:right w:val="none" w:sz="0" w:space="0" w:color="auto"/>
          </w:divBdr>
        </w:div>
        <w:div w:id="1581214698">
          <w:marLeft w:val="-450"/>
          <w:marRight w:val="0"/>
          <w:marTop w:val="525"/>
          <w:marBottom w:val="225"/>
          <w:divBdr>
            <w:top w:val="none" w:sz="0" w:space="0" w:color="auto"/>
            <w:left w:val="single" w:sz="48" w:space="0" w:color="4F9CEE"/>
            <w:bottom w:val="none" w:sz="0" w:space="0" w:color="auto"/>
            <w:right w:val="none" w:sz="0" w:space="0" w:color="auto"/>
          </w:divBdr>
        </w:div>
        <w:div w:id="380204488">
          <w:marLeft w:val="0"/>
          <w:marRight w:val="0"/>
          <w:marTop w:val="0"/>
          <w:marBottom w:val="225"/>
          <w:divBdr>
            <w:top w:val="none" w:sz="0" w:space="0" w:color="auto"/>
            <w:left w:val="none" w:sz="0" w:space="0" w:color="auto"/>
            <w:bottom w:val="none" w:sz="0" w:space="0" w:color="auto"/>
            <w:right w:val="none" w:sz="0" w:space="0" w:color="auto"/>
          </w:divBdr>
        </w:div>
        <w:div w:id="660812981">
          <w:marLeft w:val="-450"/>
          <w:marRight w:val="0"/>
          <w:marTop w:val="525"/>
          <w:marBottom w:val="225"/>
          <w:divBdr>
            <w:top w:val="none" w:sz="0" w:space="0" w:color="auto"/>
            <w:left w:val="single" w:sz="48" w:space="0" w:color="4F9CEE"/>
            <w:bottom w:val="none" w:sz="0" w:space="0" w:color="auto"/>
            <w:right w:val="none" w:sz="0" w:space="0" w:color="auto"/>
          </w:divBdr>
        </w:div>
        <w:div w:id="142308762">
          <w:marLeft w:val="0"/>
          <w:marRight w:val="0"/>
          <w:marTop w:val="0"/>
          <w:marBottom w:val="225"/>
          <w:divBdr>
            <w:top w:val="none" w:sz="0" w:space="0" w:color="auto"/>
            <w:left w:val="none" w:sz="0" w:space="0" w:color="auto"/>
            <w:bottom w:val="none" w:sz="0" w:space="0" w:color="auto"/>
            <w:right w:val="none" w:sz="0" w:space="0" w:color="auto"/>
          </w:divBdr>
        </w:div>
        <w:div w:id="1208760195">
          <w:marLeft w:val="0"/>
          <w:marRight w:val="0"/>
          <w:marTop w:val="0"/>
          <w:marBottom w:val="225"/>
          <w:divBdr>
            <w:top w:val="none" w:sz="0" w:space="0" w:color="auto"/>
            <w:left w:val="none" w:sz="0" w:space="0" w:color="auto"/>
            <w:bottom w:val="none" w:sz="0" w:space="0" w:color="auto"/>
            <w:right w:val="none" w:sz="0" w:space="0" w:color="auto"/>
          </w:divBdr>
        </w:div>
        <w:div w:id="760030405">
          <w:marLeft w:val="0"/>
          <w:marRight w:val="0"/>
          <w:marTop w:val="0"/>
          <w:marBottom w:val="225"/>
          <w:divBdr>
            <w:top w:val="none" w:sz="0" w:space="0" w:color="auto"/>
            <w:left w:val="none" w:sz="0" w:space="0" w:color="auto"/>
            <w:bottom w:val="none" w:sz="0" w:space="0" w:color="auto"/>
            <w:right w:val="none" w:sz="0" w:space="0" w:color="auto"/>
          </w:divBdr>
        </w:div>
        <w:div w:id="1014186990">
          <w:marLeft w:val="0"/>
          <w:marRight w:val="0"/>
          <w:marTop w:val="0"/>
          <w:marBottom w:val="225"/>
          <w:divBdr>
            <w:top w:val="none" w:sz="0" w:space="0" w:color="auto"/>
            <w:left w:val="none" w:sz="0" w:space="0" w:color="auto"/>
            <w:bottom w:val="none" w:sz="0" w:space="0" w:color="auto"/>
            <w:right w:val="none" w:sz="0" w:space="0" w:color="auto"/>
          </w:divBdr>
        </w:div>
        <w:div w:id="39986242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5" Type="http://schemas.openxmlformats.org/officeDocument/2006/relationships/hyperlink" Target="javascript:;" TargetMode="External"/><Relationship Id="rId4" Type="http://schemas.openxmlformats.org/officeDocument/2006/relationships/hyperlink" Target="https://baike.baidu.com/item/%E5%9C%B0%E6%96%B9%E5%90%84%E7%BA%A7%E4%BA%BA%E6%B0%91%E6%94%BF%E5%BA%9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659</Words>
  <Characters>3759</Characters>
  <Application>Microsoft Office Word</Application>
  <DocSecurity>0</DocSecurity>
  <Lines>31</Lines>
  <Paragraphs>8</Paragraphs>
  <ScaleCrop>false</ScaleCrop>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3</cp:revision>
  <dcterms:created xsi:type="dcterms:W3CDTF">2019-07-03T08:45:00Z</dcterms:created>
  <dcterms:modified xsi:type="dcterms:W3CDTF">2019-07-03T08:59:00Z</dcterms:modified>
</cp:coreProperties>
</file>